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CF534" w14:textId="67A28BDC" w:rsidR="005028CF" w:rsidRDefault="00460CC3" w:rsidP="005028CF">
      <w:pPr>
        <w:pStyle w:val="Footerdetails"/>
        <w:outlineLvl w:val="0"/>
      </w:pPr>
      <w:sdt>
        <w:sdtPr>
          <w:alias w:val="Click on the down arrow to select a date"/>
          <w:tag w:val="Email letter date"/>
          <w:id w:val="1401249387"/>
          <w:placeholder>
            <w:docPart w:val="37A41B2638654534A38B8C11431302EB"/>
          </w:placeholder>
          <w:date w:fullDate="2020-04-09T00:00:00Z">
            <w:dateFormat w:val="d MMMM yyyy"/>
            <w:lid w:val="en-AU"/>
            <w:storeMappedDataAs w:val="dateTime"/>
            <w:calendar w:val="gregorian"/>
          </w:date>
        </w:sdtPr>
        <w:sdtEndPr/>
        <w:sdtContent>
          <w:r w:rsidR="005028CF">
            <w:t>9 April 2020</w:t>
          </w:r>
        </w:sdtContent>
      </w:sdt>
    </w:p>
    <w:p w14:paraId="30878EF4" w14:textId="77777777" w:rsidR="005028CF" w:rsidRDefault="005028CF" w:rsidP="005028CF">
      <w:pPr>
        <w:pStyle w:val="BodyText"/>
        <w:jc w:val="left"/>
      </w:pPr>
    </w:p>
    <w:p w14:paraId="5B83EFEB" w14:textId="2E354187" w:rsidR="005028CF" w:rsidRPr="005028CF" w:rsidRDefault="005028CF" w:rsidP="005028CF">
      <w:pPr>
        <w:pStyle w:val="BodyText"/>
        <w:jc w:val="left"/>
        <w:rPr>
          <w:rFonts w:ascii="Arial" w:hAnsi="Arial" w:cs="Arial"/>
          <w:b/>
        </w:rPr>
      </w:pPr>
      <w:r w:rsidRPr="005028CF">
        <w:rPr>
          <w:rFonts w:ascii="Arial" w:hAnsi="Arial" w:cs="Arial"/>
          <w:b/>
        </w:rPr>
        <w:t xml:space="preserve">Origin Energy’s Response to CX </w:t>
      </w:r>
      <w:r w:rsidR="009B76B1">
        <w:rPr>
          <w:rFonts w:ascii="Arial" w:hAnsi="Arial" w:cs="Arial"/>
          <w:b/>
        </w:rPr>
        <w:t>CDR Logo</w:t>
      </w:r>
      <w:r w:rsidRPr="005028CF">
        <w:rPr>
          <w:rFonts w:ascii="Arial" w:hAnsi="Arial" w:cs="Arial"/>
          <w:b/>
        </w:rPr>
        <w:t xml:space="preserve"> – Consultation </w:t>
      </w:r>
      <w:r w:rsidR="009B76B1">
        <w:rPr>
          <w:rFonts w:ascii="Arial" w:hAnsi="Arial" w:cs="Arial"/>
          <w:b/>
        </w:rPr>
        <w:t>Draft 6</w:t>
      </w:r>
    </w:p>
    <w:p w14:paraId="402EE3DE" w14:textId="691C91E5" w:rsidR="005028CF" w:rsidRDefault="005028CF" w:rsidP="00845F9B">
      <w:pPr>
        <w:rPr>
          <w:rFonts w:ascii="Arial" w:hAnsi="Arial" w:cs="Arial"/>
        </w:rPr>
      </w:pPr>
    </w:p>
    <w:p w14:paraId="1400F3D6" w14:textId="620321DC" w:rsidR="00604556" w:rsidRDefault="00604556" w:rsidP="00845F9B">
      <w:pPr>
        <w:rPr>
          <w:rFonts w:ascii="Arial" w:hAnsi="Arial" w:cs="Arial"/>
          <w:b/>
        </w:rPr>
      </w:pPr>
      <w:r>
        <w:rPr>
          <w:rFonts w:ascii="Arial" w:hAnsi="Arial" w:cs="Arial"/>
          <w:b/>
        </w:rPr>
        <w:t>Use of the CDR Logo by Accredited Data Recipients</w:t>
      </w:r>
    </w:p>
    <w:p w14:paraId="58A20523" w14:textId="2D36D85A" w:rsidR="00604556" w:rsidRDefault="00604556" w:rsidP="00845F9B">
      <w:pPr>
        <w:rPr>
          <w:rFonts w:ascii="Arial" w:hAnsi="Arial" w:cs="Arial"/>
          <w:b/>
        </w:rPr>
      </w:pPr>
    </w:p>
    <w:p w14:paraId="2C16CFF6" w14:textId="0A0F7DD4" w:rsidR="00604556" w:rsidRPr="002B5DA9" w:rsidRDefault="002B5DA9" w:rsidP="00845F9B">
      <w:pPr>
        <w:rPr>
          <w:rFonts w:ascii="Arial" w:hAnsi="Arial" w:cs="Arial"/>
        </w:rPr>
      </w:pPr>
      <w:r>
        <w:rPr>
          <w:rFonts w:ascii="Arial" w:hAnsi="Arial" w:cs="Arial"/>
        </w:rPr>
        <w:t>T</w:t>
      </w:r>
      <w:r w:rsidRPr="002B5DA9">
        <w:rPr>
          <w:rFonts w:ascii="Arial" w:hAnsi="Arial" w:cs="Arial"/>
        </w:rPr>
        <w:t xml:space="preserve">he use of the CDR logo throughout the data application </w:t>
      </w:r>
      <w:r>
        <w:rPr>
          <w:rFonts w:ascii="Arial" w:hAnsi="Arial" w:cs="Arial"/>
        </w:rPr>
        <w:t xml:space="preserve">and retrieval </w:t>
      </w:r>
      <w:r w:rsidRPr="002B5DA9">
        <w:rPr>
          <w:rFonts w:ascii="Arial" w:hAnsi="Arial" w:cs="Arial"/>
        </w:rPr>
        <w:t>process</w:t>
      </w:r>
      <w:r>
        <w:rPr>
          <w:rFonts w:ascii="Arial" w:hAnsi="Arial" w:cs="Arial"/>
        </w:rPr>
        <w:t xml:space="preserve"> will provide</w:t>
      </w:r>
      <w:r w:rsidRPr="002B5DA9">
        <w:rPr>
          <w:rFonts w:ascii="Arial" w:hAnsi="Arial" w:cs="Arial"/>
        </w:rPr>
        <w:t xml:space="preserve"> comfort to customer</w:t>
      </w:r>
      <w:r>
        <w:rPr>
          <w:rFonts w:ascii="Arial" w:hAnsi="Arial" w:cs="Arial"/>
        </w:rPr>
        <w:t>s</w:t>
      </w:r>
      <w:r w:rsidRPr="002B5DA9">
        <w:rPr>
          <w:rFonts w:ascii="Arial" w:hAnsi="Arial" w:cs="Arial"/>
        </w:rPr>
        <w:t xml:space="preserve"> that they are dealing with a</w:t>
      </w:r>
      <w:r>
        <w:rPr>
          <w:rFonts w:ascii="Arial" w:hAnsi="Arial" w:cs="Arial"/>
        </w:rPr>
        <w:t xml:space="preserve">n </w:t>
      </w:r>
      <w:r w:rsidRPr="002B5DA9">
        <w:rPr>
          <w:rFonts w:ascii="Arial" w:hAnsi="Arial" w:cs="Arial"/>
        </w:rPr>
        <w:t xml:space="preserve">ACCC </w:t>
      </w:r>
      <w:r>
        <w:rPr>
          <w:rFonts w:ascii="Arial" w:hAnsi="Arial" w:cs="Arial"/>
        </w:rPr>
        <w:t xml:space="preserve">accredited business and thus the business is </w:t>
      </w:r>
      <w:r w:rsidRPr="002B5DA9">
        <w:rPr>
          <w:rFonts w:ascii="Arial" w:hAnsi="Arial" w:cs="Arial"/>
        </w:rPr>
        <w:t>trustworthy</w:t>
      </w:r>
      <w:r>
        <w:rPr>
          <w:rFonts w:ascii="Arial" w:hAnsi="Arial" w:cs="Arial"/>
        </w:rPr>
        <w:t>.</w:t>
      </w:r>
    </w:p>
    <w:p w14:paraId="2B6709C1" w14:textId="15D1059B" w:rsidR="002B5DA9" w:rsidRDefault="002B5DA9" w:rsidP="00845F9B">
      <w:pPr>
        <w:rPr>
          <w:rFonts w:ascii="Arial" w:hAnsi="Arial" w:cs="Arial"/>
        </w:rPr>
      </w:pPr>
    </w:p>
    <w:p w14:paraId="0ED0B57F" w14:textId="5FEAFC73" w:rsidR="00637B62" w:rsidRDefault="00637B62" w:rsidP="00845F9B">
      <w:pPr>
        <w:rPr>
          <w:rFonts w:ascii="Arial" w:hAnsi="Arial" w:cs="Arial"/>
        </w:rPr>
      </w:pPr>
      <w:r>
        <w:rPr>
          <w:rFonts w:ascii="Arial" w:hAnsi="Arial" w:cs="Arial"/>
        </w:rPr>
        <w:t>We note the following is a proposed ADR requirement:</w:t>
      </w:r>
    </w:p>
    <w:p w14:paraId="54E3AC68" w14:textId="77777777" w:rsidR="00637B62" w:rsidRDefault="00637B62" w:rsidP="00845F9B">
      <w:pPr>
        <w:rPr>
          <w:rFonts w:ascii="Arial" w:hAnsi="Arial" w:cs="Arial"/>
        </w:rPr>
      </w:pPr>
    </w:p>
    <w:p w14:paraId="3976E4C1" w14:textId="77731A9E" w:rsidR="00637B62" w:rsidRPr="00637B62" w:rsidRDefault="00637B62" w:rsidP="00637B62">
      <w:pPr>
        <w:autoSpaceDE w:val="0"/>
        <w:autoSpaceDN w:val="0"/>
        <w:adjustRightInd w:val="0"/>
        <w:ind w:left="720"/>
        <w:rPr>
          <w:rFonts w:ascii="Arial" w:hAnsi="Arial" w:cs="Arial"/>
          <w:i/>
          <w:szCs w:val="20"/>
        </w:rPr>
      </w:pPr>
      <w:r w:rsidRPr="00637B62">
        <w:rPr>
          <w:rFonts w:ascii="ArialMT" w:eastAsiaTheme="minorHAnsi" w:hAnsi="ArialMT" w:cs="ArialMT"/>
          <w:i/>
          <w:szCs w:val="20"/>
        </w:rPr>
        <w:t>The exact locations of CDR Logos in the Consent Model are at the discretion of the</w:t>
      </w:r>
      <w:r w:rsidRPr="00637B62">
        <w:rPr>
          <w:rFonts w:ascii="ArialMT" w:eastAsiaTheme="minorHAnsi" w:hAnsi="ArialMT" w:cs="ArialMT"/>
          <w:i/>
          <w:szCs w:val="20"/>
        </w:rPr>
        <w:t xml:space="preserve"> </w:t>
      </w:r>
      <w:proofErr w:type="gramStart"/>
      <w:r w:rsidRPr="00637B62">
        <w:rPr>
          <w:rFonts w:ascii="ArialMT" w:eastAsiaTheme="minorHAnsi" w:hAnsi="ArialMT" w:cs="ArialMT"/>
          <w:i/>
          <w:szCs w:val="20"/>
        </w:rPr>
        <w:t>ADR</w:t>
      </w:r>
      <w:proofErr w:type="gramEnd"/>
      <w:r w:rsidRPr="00637B62">
        <w:rPr>
          <w:rFonts w:ascii="ArialMT" w:eastAsiaTheme="minorHAnsi" w:hAnsi="ArialMT" w:cs="ArialMT"/>
          <w:i/>
          <w:szCs w:val="20"/>
        </w:rPr>
        <w:t xml:space="preserve"> but any use </w:t>
      </w:r>
      <w:r w:rsidRPr="00637B62">
        <w:rPr>
          <w:rFonts w:ascii="Arial-BoldMT" w:eastAsiaTheme="minorHAnsi" w:hAnsi="Arial-BoldMT" w:cs="Arial-BoldMT"/>
          <w:b/>
          <w:bCs/>
          <w:i/>
          <w:szCs w:val="20"/>
        </w:rPr>
        <w:t xml:space="preserve">MUST </w:t>
      </w:r>
      <w:r w:rsidRPr="00637B62">
        <w:rPr>
          <w:rFonts w:ascii="ArialMT" w:eastAsiaTheme="minorHAnsi" w:hAnsi="ArialMT" w:cs="ArialMT"/>
          <w:i/>
          <w:szCs w:val="20"/>
        </w:rPr>
        <w:t xml:space="preserve">be in direct relation to CDR and </w:t>
      </w:r>
      <w:r w:rsidRPr="00637B62">
        <w:rPr>
          <w:rFonts w:ascii="Arial-BoldMT" w:eastAsiaTheme="minorHAnsi" w:hAnsi="Arial-BoldMT" w:cs="Arial-BoldMT"/>
          <w:b/>
          <w:bCs/>
          <w:i/>
          <w:szCs w:val="20"/>
        </w:rPr>
        <w:t xml:space="preserve">MUST NOT </w:t>
      </w:r>
      <w:r w:rsidRPr="00637B62">
        <w:rPr>
          <w:rFonts w:ascii="ArialMT" w:eastAsiaTheme="minorHAnsi" w:hAnsi="ArialMT" w:cs="ArialMT"/>
          <w:i/>
          <w:szCs w:val="20"/>
        </w:rPr>
        <w:t>be used in</w:t>
      </w:r>
      <w:r w:rsidRPr="00637B62">
        <w:rPr>
          <w:rFonts w:ascii="ArialMT" w:eastAsiaTheme="minorHAnsi" w:hAnsi="ArialMT" w:cs="ArialMT"/>
          <w:i/>
          <w:szCs w:val="20"/>
        </w:rPr>
        <w:t xml:space="preserve"> </w:t>
      </w:r>
      <w:r w:rsidRPr="00637B62">
        <w:rPr>
          <w:rFonts w:ascii="ArialMT" w:eastAsiaTheme="minorHAnsi" w:hAnsi="ArialMT" w:cs="ArialMT"/>
          <w:i/>
          <w:szCs w:val="20"/>
        </w:rPr>
        <w:t>relation to non-CDR data sharing.</w:t>
      </w:r>
    </w:p>
    <w:p w14:paraId="2E62AAA4" w14:textId="77777777" w:rsidR="00637B62" w:rsidRPr="002B5DA9" w:rsidRDefault="00637B62" w:rsidP="00845F9B">
      <w:pPr>
        <w:rPr>
          <w:rFonts w:ascii="Arial" w:hAnsi="Arial" w:cs="Arial"/>
        </w:rPr>
      </w:pPr>
    </w:p>
    <w:p w14:paraId="094F2BF7" w14:textId="7CBE267D" w:rsidR="00637B62" w:rsidRDefault="00637B62" w:rsidP="00845F9B">
      <w:pPr>
        <w:rPr>
          <w:rFonts w:ascii="Arial" w:hAnsi="Arial" w:cs="Arial"/>
        </w:rPr>
      </w:pPr>
      <w:r>
        <w:rPr>
          <w:rFonts w:ascii="Arial" w:hAnsi="Arial" w:cs="Arial"/>
        </w:rPr>
        <w:t xml:space="preserve">Does the above mean that </w:t>
      </w:r>
      <w:r w:rsidRPr="00637B62">
        <w:rPr>
          <w:rFonts w:ascii="Arial" w:hAnsi="Arial" w:cs="Arial"/>
        </w:rPr>
        <w:t xml:space="preserve">a business </w:t>
      </w:r>
      <w:r w:rsidR="00897E6B">
        <w:rPr>
          <w:rFonts w:ascii="Arial" w:hAnsi="Arial" w:cs="Arial"/>
        </w:rPr>
        <w:t xml:space="preserve">that </w:t>
      </w:r>
      <w:r w:rsidRPr="00637B62">
        <w:rPr>
          <w:rFonts w:ascii="Arial" w:hAnsi="Arial" w:cs="Arial"/>
        </w:rPr>
        <w:t>offer</w:t>
      </w:r>
      <w:r w:rsidR="00897E6B">
        <w:rPr>
          <w:rFonts w:ascii="Arial" w:hAnsi="Arial" w:cs="Arial"/>
        </w:rPr>
        <w:t>s</w:t>
      </w:r>
      <w:r w:rsidRPr="00637B62">
        <w:rPr>
          <w:rFonts w:ascii="Arial" w:hAnsi="Arial" w:cs="Arial"/>
        </w:rPr>
        <w:t xml:space="preserve"> an array of services</w:t>
      </w:r>
      <w:r w:rsidR="00897E6B">
        <w:rPr>
          <w:rFonts w:ascii="Arial" w:hAnsi="Arial" w:cs="Arial"/>
        </w:rPr>
        <w:t xml:space="preserve"> (and one of them is CDR)</w:t>
      </w:r>
      <w:r w:rsidRPr="00637B62">
        <w:rPr>
          <w:rFonts w:ascii="Arial" w:hAnsi="Arial" w:cs="Arial"/>
        </w:rPr>
        <w:t xml:space="preserve"> across many industries </w:t>
      </w:r>
      <w:r w:rsidR="00897E6B">
        <w:rPr>
          <w:rFonts w:ascii="Arial" w:hAnsi="Arial" w:cs="Arial"/>
        </w:rPr>
        <w:t xml:space="preserve">can </w:t>
      </w:r>
      <w:r>
        <w:rPr>
          <w:rFonts w:ascii="Arial" w:hAnsi="Arial" w:cs="Arial"/>
        </w:rPr>
        <w:t>include the CDR logo on the front page of their website</w:t>
      </w:r>
      <w:r w:rsidR="00897E6B">
        <w:rPr>
          <w:rFonts w:ascii="Arial" w:hAnsi="Arial" w:cs="Arial"/>
        </w:rPr>
        <w:t>?</w:t>
      </w:r>
    </w:p>
    <w:p w14:paraId="34D9D98E" w14:textId="77777777" w:rsidR="00637B62" w:rsidRDefault="00637B62" w:rsidP="00845F9B">
      <w:pPr>
        <w:rPr>
          <w:rFonts w:ascii="Arial" w:hAnsi="Arial" w:cs="Arial"/>
        </w:rPr>
      </w:pPr>
    </w:p>
    <w:p w14:paraId="2945D71F" w14:textId="77777777" w:rsidR="00637B62" w:rsidRDefault="002B5DA9" w:rsidP="00637B62">
      <w:pPr>
        <w:rPr>
          <w:rFonts w:ascii="Arial" w:hAnsi="Arial" w:cs="Arial"/>
        </w:rPr>
      </w:pPr>
      <w:r w:rsidRPr="00637B62">
        <w:rPr>
          <w:rFonts w:ascii="Arial" w:hAnsi="Arial" w:cs="Arial"/>
        </w:rPr>
        <w:t xml:space="preserve">A challenge for the ACCC in developing this standard is ensuring that an impression is not developed that the presence of the CDR logo means that the ACCC has endorsed all the services provided by the accredited third party.  That is, </w:t>
      </w:r>
      <w:r w:rsidR="00637B62" w:rsidRPr="00637B62">
        <w:rPr>
          <w:rFonts w:ascii="Arial" w:hAnsi="Arial" w:cs="Arial"/>
        </w:rPr>
        <w:t xml:space="preserve">the presence of the CDR logo at the top of their website </w:t>
      </w:r>
    </w:p>
    <w:p w14:paraId="1444EF0F" w14:textId="4B90F2AE" w:rsidR="00604556" w:rsidRPr="00637B62" w:rsidRDefault="002B5DA9" w:rsidP="00845F9B">
      <w:pPr>
        <w:rPr>
          <w:rFonts w:ascii="Arial" w:hAnsi="Arial" w:cs="Arial"/>
        </w:rPr>
      </w:pPr>
      <w:r w:rsidRPr="00637B62">
        <w:rPr>
          <w:rFonts w:ascii="Arial" w:hAnsi="Arial" w:cs="Arial"/>
        </w:rPr>
        <w:t xml:space="preserve">may </w:t>
      </w:r>
      <w:r w:rsidR="00637B62" w:rsidRPr="00637B62">
        <w:rPr>
          <w:rFonts w:ascii="Arial" w:hAnsi="Arial" w:cs="Arial"/>
        </w:rPr>
        <w:t xml:space="preserve">give the impression that, they as a whole business, have been </w:t>
      </w:r>
      <w:proofErr w:type="gramStart"/>
      <w:r w:rsidR="00637B62" w:rsidRPr="00637B62">
        <w:rPr>
          <w:rFonts w:ascii="Arial" w:hAnsi="Arial" w:cs="Arial"/>
        </w:rPr>
        <w:t xml:space="preserve">accredited </w:t>
      </w:r>
      <w:r w:rsidR="00637B62">
        <w:rPr>
          <w:rFonts w:ascii="Arial" w:hAnsi="Arial" w:cs="Arial"/>
        </w:rPr>
        <w:t xml:space="preserve"> -</w:t>
      </w:r>
      <w:proofErr w:type="gramEnd"/>
      <w:r w:rsidR="00637B62">
        <w:rPr>
          <w:rFonts w:ascii="Arial" w:hAnsi="Arial" w:cs="Arial"/>
        </w:rPr>
        <w:t xml:space="preserve"> </w:t>
      </w:r>
      <w:r w:rsidR="00637B62" w:rsidRPr="00637B62">
        <w:rPr>
          <w:rFonts w:ascii="Arial" w:hAnsi="Arial" w:cs="Arial"/>
        </w:rPr>
        <w:t>when this is not the case.</w:t>
      </w:r>
      <w:r w:rsidRPr="00637B62">
        <w:rPr>
          <w:sz w:val="23"/>
          <w:szCs w:val="23"/>
        </w:rPr>
        <w:t xml:space="preserve"> </w:t>
      </w:r>
      <w:r w:rsidRPr="00637B62">
        <w:rPr>
          <w:rFonts w:ascii="Arial" w:hAnsi="Arial" w:cs="Arial"/>
        </w:rPr>
        <w:t xml:space="preserve"> </w:t>
      </w:r>
      <w:r w:rsidR="00897E6B">
        <w:rPr>
          <w:rFonts w:ascii="Arial" w:hAnsi="Arial" w:cs="Arial"/>
        </w:rPr>
        <w:t>Rather, they have only been accredited for CDR purposes.</w:t>
      </w:r>
    </w:p>
    <w:p w14:paraId="2ABAA545" w14:textId="77777777" w:rsidR="002B5DA9" w:rsidRDefault="002B5DA9" w:rsidP="00845F9B">
      <w:pPr>
        <w:rPr>
          <w:rFonts w:ascii="Arial" w:hAnsi="Arial" w:cs="Arial"/>
          <w:b/>
        </w:rPr>
      </w:pPr>
    </w:p>
    <w:p w14:paraId="5652558B" w14:textId="5AAC04E7" w:rsidR="00604556" w:rsidRPr="00604556" w:rsidRDefault="00604556" w:rsidP="00845F9B">
      <w:pPr>
        <w:rPr>
          <w:rFonts w:ascii="Arial" w:hAnsi="Arial" w:cs="Arial"/>
          <w:b/>
        </w:rPr>
      </w:pPr>
      <w:r w:rsidRPr="00604556">
        <w:rPr>
          <w:rFonts w:ascii="Arial" w:hAnsi="Arial" w:cs="Arial"/>
          <w:b/>
        </w:rPr>
        <w:t>Data holder obligations</w:t>
      </w:r>
    </w:p>
    <w:p w14:paraId="74A5F8D6" w14:textId="77777777" w:rsidR="00604556" w:rsidRDefault="00604556" w:rsidP="00845F9B">
      <w:pPr>
        <w:rPr>
          <w:rFonts w:ascii="Arial" w:hAnsi="Arial" w:cs="Arial"/>
        </w:rPr>
      </w:pPr>
    </w:p>
    <w:p w14:paraId="65EEBE1B" w14:textId="08418891" w:rsidR="00604556" w:rsidRDefault="00604556" w:rsidP="00845F9B">
      <w:pPr>
        <w:rPr>
          <w:rFonts w:ascii="Arial" w:hAnsi="Arial" w:cs="Arial"/>
        </w:rPr>
      </w:pPr>
      <w:r>
        <w:rPr>
          <w:rFonts w:ascii="Arial" w:hAnsi="Arial" w:cs="Arial"/>
        </w:rPr>
        <w:t xml:space="preserve">It is difficult for Origin to comment on the proposal for Data Holders as it is not clear how this process will be managed.  While </w:t>
      </w:r>
      <w:r w:rsidR="00897E6B">
        <w:rPr>
          <w:rFonts w:ascii="Arial" w:hAnsi="Arial" w:cs="Arial"/>
        </w:rPr>
        <w:t xml:space="preserve">different </w:t>
      </w:r>
      <w:r>
        <w:rPr>
          <w:rFonts w:ascii="Arial" w:hAnsi="Arial" w:cs="Arial"/>
        </w:rPr>
        <w:t>entities will be designated at data holders, the data holder may not have a direct relationship with a customer. Therefore, the “must” requirement may not be relevant to energy data holders.</w:t>
      </w:r>
    </w:p>
    <w:p w14:paraId="02BA660B" w14:textId="77777777" w:rsidR="00604556" w:rsidRDefault="00604556" w:rsidP="00845F9B">
      <w:pPr>
        <w:rPr>
          <w:rFonts w:ascii="Arial" w:hAnsi="Arial" w:cs="Arial"/>
        </w:rPr>
      </w:pPr>
    </w:p>
    <w:p w14:paraId="0815E645" w14:textId="7041665D" w:rsidR="00604556" w:rsidRDefault="00604556" w:rsidP="00845F9B">
      <w:pPr>
        <w:rPr>
          <w:rFonts w:ascii="Arial" w:hAnsi="Arial" w:cs="Arial"/>
        </w:rPr>
      </w:pPr>
      <w:r>
        <w:rPr>
          <w:rFonts w:ascii="Arial" w:hAnsi="Arial" w:cs="Arial"/>
        </w:rPr>
        <w:t>This is given that it is in intended that a “gateway” model be utilised in energy.  It is envisaged that there is an interface to the gateway (</w:t>
      </w:r>
      <w:proofErr w:type="spellStart"/>
      <w:r>
        <w:rPr>
          <w:rFonts w:ascii="Arial" w:hAnsi="Arial" w:cs="Arial"/>
        </w:rPr>
        <w:t>ie</w:t>
      </w:r>
      <w:proofErr w:type="spellEnd"/>
      <w:r>
        <w:rPr>
          <w:rFonts w:ascii="Arial" w:hAnsi="Arial" w:cs="Arial"/>
        </w:rPr>
        <w:t xml:space="preserve"> AEMO), the gateway </w:t>
      </w:r>
      <w:r w:rsidR="00897E6B">
        <w:rPr>
          <w:rFonts w:ascii="Arial" w:hAnsi="Arial" w:cs="Arial"/>
        </w:rPr>
        <w:t xml:space="preserve">then </w:t>
      </w:r>
      <w:r>
        <w:rPr>
          <w:rFonts w:ascii="Arial" w:hAnsi="Arial" w:cs="Arial"/>
        </w:rPr>
        <w:t>seeks the data through connected systems</w:t>
      </w:r>
      <w:r w:rsidR="00897E6B">
        <w:rPr>
          <w:rFonts w:ascii="Arial" w:hAnsi="Arial" w:cs="Arial"/>
        </w:rPr>
        <w:t xml:space="preserve"> with the </w:t>
      </w:r>
      <w:r>
        <w:rPr>
          <w:rFonts w:ascii="Arial" w:hAnsi="Arial" w:cs="Arial"/>
        </w:rPr>
        <w:t>information is collated and provided back to the customer.  The customer may not have an</w:t>
      </w:r>
      <w:r w:rsidR="00897E6B">
        <w:rPr>
          <w:rFonts w:ascii="Arial" w:hAnsi="Arial" w:cs="Arial"/>
        </w:rPr>
        <w:t>y</w:t>
      </w:r>
      <w:r>
        <w:rPr>
          <w:rFonts w:ascii="Arial" w:hAnsi="Arial" w:cs="Arial"/>
        </w:rPr>
        <w:t xml:space="preserve"> contact with the data holder as the centralised system provides the requested data. </w:t>
      </w:r>
      <w:r w:rsidR="00897E6B">
        <w:rPr>
          <w:rFonts w:ascii="Arial" w:hAnsi="Arial" w:cs="Arial"/>
        </w:rPr>
        <w:t>Therefore, the need for “must” requirement for data holders in energy may not be relevant.</w:t>
      </w:r>
      <w:bookmarkStart w:id="0" w:name="_GoBack"/>
      <w:bookmarkEnd w:id="0"/>
    </w:p>
    <w:sectPr w:rsidR="0060455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C0203" w14:textId="77777777" w:rsidR="00460CC3" w:rsidRDefault="00460CC3" w:rsidP="00BD5EF2">
      <w:r>
        <w:separator/>
      </w:r>
    </w:p>
  </w:endnote>
  <w:endnote w:type="continuationSeparator" w:id="0">
    <w:p w14:paraId="06D469D2" w14:textId="77777777" w:rsidR="00460CC3" w:rsidRDefault="00460CC3" w:rsidP="00BD5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4797E" w14:textId="77777777" w:rsidR="00833D95" w:rsidRDefault="00833D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6EF80" w14:textId="77777777" w:rsidR="00833D95" w:rsidRDefault="00833D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CA42F" w14:textId="77777777" w:rsidR="00833D95" w:rsidRDefault="00833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CC290" w14:textId="77777777" w:rsidR="00460CC3" w:rsidRDefault="00460CC3" w:rsidP="00BD5EF2">
      <w:r>
        <w:separator/>
      </w:r>
    </w:p>
  </w:footnote>
  <w:footnote w:type="continuationSeparator" w:id="0">
    <w:p w14:paraId="0A20E5FA" w14:textId="77777777" w:rsidR="00460CC3" w:rsidRDefault="00460CC3" w:rsidP="00BD5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15EB6" w14:textId="77777777" w:rsidR="00833D95" w:rsidRDefault="00833D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54C41" w14:textId="73D62237" w:rsidR="005028CF" w:rsidRDefault="005028CF" w:rsidP="005028CF">
    <w:pPr>
      <w:pStyle w:val="Header"/>
      <w:jc w:val="right"/>
    </w:pPr>
    <w:r>
      <w:rPr>
        <w:noProof/>
      </w:rPr>
      <w:drawing>
        <wp:inline distT="0" distB="0" distL="0" distR="0" wp14:anchorId="61929120" wp14:editId="2ECFC570">
          <wp:extent cx="939165" cy="10788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165" cy="107886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D59EA" w14:textId="77777777" w:rsidR="00833D95" w:rsidRDefault="00833D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1044"/>
    <w:multiLevelType w:val="hybridMultilevel"/>
    <w:tmpl w:val="81089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3C45418"/>
    <w:multiLevelType w:val="multilevel"/>
    <w:tmpl w:val="5E44BC76"/>
    <w:lvl w:ilvl="0">
      <w:start w:val="1"/>
      <w:numFmt w:val="bullet"/>
      <w:lvlText w:val=""/>
      <w:lvlJc w:val="left"/>
      <w:pPr>
        <w:tabs>
          <w:tab w:val="num" w:pos="1050"/>
        </w:tabs>
        <w:ind w:left="1050" w:hanging="360"/>
      </w:pPr>
      <w:rPr>
        <w:rFonts w:ascii="Symbol" w:hAnsi="Symbol" w:hint="default"/>
        <w:sz w:val="20"/>
      </w:rPr>
    </w:lvl>
    <w:lvl w:ilvl="1" w:tentative="1">
      <w:start w:val="1"/>
      <w:numFmt w:val="bullet"/>
      <w:lvlText w:val="o"/>
      <w:lvlJc w:val="left"/>
      <w:pPr>
        <w:tabs>
          <w:tab w:val="num" w:pos="1770"/>
        </w:tabs>
        <w:ind w:left="1770" w:hanging="360"/>
      </w:pPr>
      <w:rPr>
        <w:rFonts w:ascii="Courier New" w:hAnsi="Courier New" w:hint="default"/>
        <w:sz w:val="20"/>
      </w:rPr>
    </w:lvl>
    <w:lvl w:ilvl="2" w:tentative="1">
      <w:start w:val="1"/>
      <w:numFmt w:val="bullet"/>
      <w:lvlText w:val=""/>
      <w:lvlJc w:val="left"/>
      <w:pPr>
        <w:tabs>
          <w:tab w:val="num" w:pos="2490"/>
        </w:tabs>
        <w:ind w:left="2490" w:hanging="360"/>
      </w:pPr>
      <w:rPr>
        <w:rFonts w:ascii="Wingdings" w:hAnsi="Wingdings" w:hint="default"/>
        <w:sz w:val="20"/>
      </w:rPr>
    </w:lvl>
    <w:lvl w:ilvl="3" w:tentative="1">
      <w:start w:val="1"/>
      <w:numFmt w:val="bullet"/>
      <w:lvlText w:val=""/>
      <w:lvlJc w:val="left"/>
      <w:pPr>
        <w:tabs>
          <w:tab w:val="num" w:pos="3210"/>
        </w:tabs>
        <w:ind w:left="3210" w:hanging="360"/>
      </w:pPr>
      <w:rPr>
        <w:rFonts w:ascii="Wingdings" w:hAnsi="Wingdings" w:hint="default"/>
        <w:sz w:val="20"/>
      </w:rPr>
    </w:lvl>
    <w:lvl w:ilvl="4" w:tentative="1">
      <w:start w:val="1"/>
      <w:numFmt w:val="bullet"/>
      <w:lvlText w:val=""/>
      <w:lvlJc w:val="left"/>
      <w:pPr>
        <w:tabs>
          <w:tab w:val="num" w:pos="3930"/>
        </w:tabs>
        <w:ind w:left="3930" w:hanging="360"/>
      </w:pPr>
      <w:rPr>
        <w:rFonts w:ascii="Wingdings" w:hAnsi="Wingdings" w:hint="default"/>
        <w:sz w:val="20"/>
      </w:rPr>
    </w:lvl>
    <w:lvl w:ilvl="5" w:tentative="1">
      <w:start w:val="1"/>
      <w:numFmt w:val="bullet"/>
      <w:lvlText w:val=""/>
      <w:lvlJc w:val="left"/>
      <w:pPr>
        <w:tabs>
          <w:tab w:val="num" w:pos="4650"/>
        </w:tabs>
        <w:ind w:left="4650" w:hanging="360"/>
      </w:pPr>
      <w:rPr>
        <w:rFonts w:ascii="Wingdings" w:hAnsi="Wingdings" w:hint="default"/>
        <w:sz w:val="20"/>
      </w:rPr>
    </w:lvl>
    <w:lvl w:ilvl="6" w:tentative="1">
      <w:start w:val="1"/>
      <w:numFmt w:val="bullet"/>
      <w:lvlText w:val=""/>
      <w:lvlJc w:val="left"/>
      <w:pPr>
        <w:tabs>
          <w:tab w:val="num" w:pos="5370"/>
        </w:tabs>
        <w:ind w:left="5370" w:hanging="360"/>
      </w:pPr>
      <w:rPr>
        <w:rFonts w:ascii="Wingdings" w:hAnsi="Wingdings" w:hint="default"/>
        <w:sz w:val="20"/>
      </w:rPr>
    </w:lvl>
    <w:lvl w:ilvl="7" w:tentative="1">
      <w:start w:val="1"/>
      <w:numFmt w:val="bullet"/>
      <w:lvlText w:val=""/>
      <w:lvlJc w:val="left"/>
      <w:pPr>
        <w:tabs>
          <w:tab w:val="num" w:pos="6090"/>
        </w:tabs>
        <w:ind w:left="6090" w:hanging="360"/>
      </w:pPr>
      <w:rPr>
        <w:rFonts w:ascii="Wingdings" w:hAnsi="Wingdings" w:hint="default"/>
        <w:sz w:val="20"/>
      </w:rPr>
    </w:lvl>
    <w:lvl w:ilvl="8" w:tentative="1">
      <w:start w:val="1"/>
      <w:numFmt w:val="bullet"/>
      <w:lvlText w:val=""/>
      <w:lvlJc w:val="left"/>
      <w:pPr>
        <w:tabs>
          <w:tab w:val="num" w:pos="6810"/>
        </w:tabs>
        <w:ind w:left="6810" w:hanging="360"/>
      </w:pPr>
      <w:rPr>
        <w:rFonts w:ascii="Wingdings" w:hAnsi="Wingdings" w:hint="default"/>
        <w:sz w:val="20"/>
      </w:rPr>
    </w:lvl>
  </w:abstractNum>
  <w:abstractNum w:abstractNumId="2" w15:restartNumberingAfterBreak="0">
    <w:nsid w:val="772C3769"/>
    <w:multiLevelType w:val="hybridMultilevel"/>
    <w:tmpl w:val="0BDC75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7EB4D47"/>
    <w:multiLevelType w:val="hybridMultilevel"/>
    <w:tmpl w:val="E7E85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395"/>
    <w:rsid w:val="00096BEF"/>
    <w:rsid w:val="00114105"/>
    <w:rsid w:val="001A773E"/>
    <w:rsid w:val="00221395"/>
    <w:rsid w:val="002B5DA9"/>
    <w:rsid w:val="00336AA6"/>
    <w:rsid w:val="00372F69"/>
    <w:rsid w:val="00460CC3"/>
    <w:rsid w:val="005028CF"/>
    <w:rsid w:val="005D3736"/>
    <w:rsid w:val="00604556"/>
    <w:rsid w:val="00625ADA"/>
    <w:rsid w:val="00637B62"/>
    <w:rsid w:val="006D6C6E"/>
    <w:rsid w:val="00742D38"/>
    <w:rsid w:val="00761257"/>
    <w:rsid w:val="007F28C3"/>
    <w:rsid w:val="00833D95"/>
    <w:rsid w:val="00845F9B"/>
    <w:rsid w:val="00897E6B"/>
    <w:rsid w:val="009717AD"/>
    <w:rsid w:val="0099113B"/>
    <w:rsid w:val="009B36A3"/>
    <w:rsid w:val="009B76B1"/>
    <w:rsid w:val="00BD5EF2"/>
    <w:rsid w:val="00C17135"/>
    <w:rsid w:val="00D8636F"/>
    <w:rsid w:val="00E54A07"/>
    <w:rsid w:val="00F74608"/>
    <w:rsid w:val="00FA17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C4734"/>
  <w15:chartTrackingRefBased/>
  <w15:docId w15:val="{7373175F-31C7-488E-844F-72AC79C9C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395"/>
    <w:pPr>
      <w:spacing w:after="0" w:line="240" w:lineRule="auto"/>
    </w:pPr>
    <w:rPr>
      <w:rFonts w:ascii="Trebuchet MS" w:eastAsia="Times New Roman" w:hAnsi="Trebuchet MS"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7AD"/>
    <w:pPr>
      <w:ind w:left="720"/>
      <w:contextualSpacing/>
    </w:pPr>
  </w:style>
  <w:style w:type="paragraph" w:styleId="Header">
    <w:name w:val="header"/>
    <w:basedOn w:val="Normal"/>
    <w:link w:val="HeaderChar"/>
    <w:uiPriority w:val="99"/>
    <w:unhideWhenUsed/>
    <w:rsid w:val="005028CF"/>
    <w:pPr>
      <w:tabs>
        <w:tab w:val="center" w:pos="4513"/>
        <w:tab w:val="right" w:pos="9026"/>
      </w:tabs>
    </w:pPr>
  </w:style>
  <w:style w:type="character" w:customStyle="1" w:styleId="HeaderChar">
    <w:name w:val="Header Char"/>
    <w:basedOn w:val="DefaultParagraphFont"/>
    <w:link w:val="Header"/>
    <w:uiPriority w:val="99"/>
    <w:rsid w:val="005028CF"/>
    <w:rPr>
      <w:rFonts w:ascii="Trebuchet MS" w:eastAsia="Times New Roman" w:hAnsi="Trebuchet MS" w:cs="Times New Roman"/>
      <w:sz w:val="20"/>
      <w:szCs w:val="24"/>
    </w:rPr>
  </w:style>
  <w:style w:type="paragraph" w:styleId="Footer">
    <w:name w:val="footer"/>
    <w:basedOn w:val="Normal"/>
    <w:link w:val="FooterChar"/>
    <w:uiPriority w:val="99"/>
    <w:unhideWhenUsed/>
    <w:rsid w:val="005028CF"/>
    <w:pPr>
      <w:tabs>
        <w:tab w:val="center" w:pos="4513"/>
        <w:tab w:val="right" w:pos="9026"/>
      </w:tabs>
    </w:pPr>
  </w:style>
  <w:style w:type="character" w:customStyle="1" w:styleId="FooterChar">
    <w:name w:val="Footer Char"/>
    <w:basedOn w:val="DefaultParagraphFont"/>
    <w:link w:val="Footer"/>
    <w:uiPriority w:val="99"/>
    <w:rsid w:val="005028CF"/>
    <w:rPr>
      <w:rFonts w:ascii="Trebuchet MS" w:eastAsia="Times New Roman" w:hAnsi="Trebuchet MS" w:cs="Times New Roman"/>
      <w:sz w:val="20"/>
      <w:szCs w:val="24"/>
    </w:rPr>
  </w:style>
  <w:style w:type="paragraph" w:styleId="BodyText">
    <w:name w:val="Body Text"/>
    <w:basedOn w:val="Normal"/>
    <w:link w:val="BodyTextChar"/>
    <w:uiPriority w:val="99"/>
    <w:qFormat/>
    <w:rsid w:val="005028CF"/>
    <w:pPr>
      <w:jc w:val="both"/>
    </w:pPr>
    <w:rPr>
      <w:rFonts w:asciiTheme="minorHAnsi" w:eastAsiaTheme="minorHAnsi" w:hAnsiTheme="minorHAnsi" w:cstheme="minorBidi"/>
      <w:szCs w:val="22"/>
    </w:rPr>
  </w:style>
  <w:style w:type="character" w:customStyle="1" w:styleId="BodyTextChar">
    <w:name w:val="Body Text Char"/>
    <w:basedOn w:val="DefaultParagraphFont"/>
    <w:link w:val="BodyText"/>
    <w:uiPriority w:val="99"/>
    <w:rsid w:val="005028CF"/>
    <w:rPr>
      <w:sz w:val="20"/>
    </w:rPr>
  </w:style>
  <w:style w:type="paragraph" w:customStyle="1" w:styleId="Footerdetails">
    <w:name w:val="Footer details"/>
    <w:basedOn w:val="Footer"/>
    <w:qFormat/>
    <w:rsid w:val="005028CF"/>
    <w:pPr>
      <w:tabs>
        <w:tab w:val="clear" w:pos="4513"/>
      </w:tabs>
    </w:pPr>
    <w:rPr>
      <w:rFonts w:ascii="Arial" w:eastAsiaTheme="minorHAnsi" w:hAnsi="Arial"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737341">
      <w:bodyDiv w:val="1"/>
      <w:marLeft w:val="0"/>
      <w:marRight w:val="0"/>
      <w:marTop w:val="0"/>
      <w:marBottom w:val="0"/>
      <w:divBdr>
        <w:top w:val="none" w:sz="0" w:space="0" w:color="auto"/>
        <w:left w:val="none" w:sz="0" w:space="0" w:color="auto"/>
        <w:bottom w:val="none" w:sz="0" w:space="0" w:color="auto"/>
        <w:right w:val="none" w:sz="0" w:space="0" w:color="auto"/>
      </w:divBdr>
      <w:divsChild>
        <w:div w:id="294457593">
          <w:marLeft w:val="0"/>
          <w:marRight w:val="0"/>
          <w:marTop w:val="0"/>
          <w:marBottom w:val="0"/>
          <w:divBdr>
            <w:top w:val="none" w:sz="0" w:space="0" w:color="auto"/>
            <w:left w:val="none" w:sz="0" w:space="0" w:color="auto"/>
            <w:bottom w:val="none" w:sz="0" w:space="0" w:color="auto"/>
            <w:right w:val="none" w:sz="0" w:space="0" w:color="auto"/>
          </w:divBdr>
          <w:divsChild>
            <w:div w:id="251162925">
              <w:marLeft w:val="0"/>
              <w:marRight w:val="0"/>
              <w:marTop w:val="0"/>
              <w:marBottom w:val="0"/>
              <w:divBdr>
                <w:top w:val="none" w:sz="0" w:space="0" w:color="auto"/>
                <w:left w:val="none" w:sz="0" w:space="0" w:color="auto"/>
                <w:bottom w:val="none" w:sz="0" w:space="0" w:color="auto"/>
                <w:right w:val="none" w:sz="0" w:space="0" w:color="auto"/>
              </w:divBdr>
              <w:divsChild>
                <w:div w:id="46216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A41B2638654534A38B8C11431302EB"/>
        <w:category>
          <w:name w:val="General"/>
          <w:gallery w:val="placeholder"/>
        </w:category>
        <w:types>
          <w:type w:val="bbPlcHdr"/>
        </w:types>
        <w:behaviors>
          <w:behavior w:val="content"/>
        </w:behaviors>
        <w:guid w:val="{089ADF2B-6BF5-4132-B656-B34A21F0010A}"/>
      </w:docPartPr>
      <w:docPartBody>
        <w:p w:rsidR="00674779" w:rsidRDefault="00173BE1" w:rsidP="00173BE1">
          <w:pPr>
            <w:pStyle w:val="37A41B2638654534A38B8C11431302EB"/>
          </w:pPr>
          <w:r w:rsidRPr="002162A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BE1"/>
    <w:rsid w:val="00173BE1"/>
    <w:rsid w:val="00674779"/>
    <w:rsid w:val="00727732"/>
    <w:rsid w:val="008635B4"/>
    <w:rsid w:val="00CA3301"/>
    <w:rsid w:val="00EC0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3BE1"/>
    <w:rPr>
      <w:color w:val="808080"/>
    </w:rPr>
  </w:style>
  <w:style w:type="paragraph" w:customStyle="1" w:styleId="37A41B2638654534A38B8C11431302EB">
    <w:name w:val="37A41B2638654534A38B8C11431302EB"/>
    <w:rsid w:val="00173B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Brumby, Caroline</dc:creator>
  <cp:keywords/>
  <dc:description/>
  <cp:lastModifiedBy>Brumby, Caroline</cp:lastModifiedBy>
  <cp:revision>3</cp:revision>
  <dcterms:created xsi:type="dcterms:W3CDTF">2020-04-08T01:03:00Z</dcterms:created>
  <dcterms:modified xsi:type="dcterms:W3CDTF">2020-04-08T01:37:00Z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c7b3fc-4128-41ae-86b4-e4b1b1ae5e15_Enabled">
    <vt:lpwstr>True</vt:lpwstr>
  </property>
  <property fmtid="{D5CDD505-2E9C-101B-9397-08002B2CF9AE}" pid="3" name="MSIP_Label_97c7b3fc-4128-41ae-86b4-e4b1b1ae5e15_SiteId">
    <vt:lpwstr>97160e56-eb00-44fe-b31d-0d6d351c636d</vt:lpwstr>
  </property>
  <property fmtid="{D5CDD505-2E9C-101B-9397-08002B2CF9AE}" pid="4" name="MSIP_Label_97c7b3fc-4128-41ae-86b4-e4b1b1ae5e15_Owner">
    <vt:lpwstr>Caroline.Brumby@origin.com.au</vt:lpwstr>
  </property>
  <property fmtid="{D5CDD505-2E9C-101B-9397-08002B2CF9AE}" pid="5" name="MSIP_Label_97c7b3fc-4128-41ae-86b4-e4b1b1ae5e15_SetDate">
    <vt:lpwstr>2020-04-07T11:22:37.8572063Z</vt:lpwstr>
  </property>
  <property fmtid="{D5CDD505-2E9C-101B-9397-08002B2CF9AE}" pid="6" name="MSIP_Label_97c7b3fc-4128-41ae-86b4-e4b1b1ae5e15_Name">
    <vt:lpwstr>General</vt:lpwstr>
  </property>
  <property fmtid="{D5CDD505-2E9C-101B-9397-08002B2CF9AE}" pid="7" name="MSIP_Label_97c7b3fc-4128-41ae-86b4-e4b1b1ae5e15_Application">
    <vt:lpwstr>Microsoft Azure Information Protection</vt:lpwstr>
  </property>
  <property fmtid="{D5CDD505-2E9C-101B-9397-08002B2CF9AE}" pid="8" name="MSIP_Label_97c7b3fc-4128-41ae-86b4-e4b1b1ae5e15_ActionId">
    <vt:lpwstr>9699b335-e5c2-4bbb-8ee2-bb685c99e2f8</vt:lpwstr>
  </property>
  <property fmtid="{D5CDD505-2E9C-101B-9397-08002B2CF9AE}" pid="9" name="MSIP_Label_97c7b3fc-4128-41ae-86b4-e4b1b1ae5e15_Extended_MSFT_Method">
    <vt:lpwstr>Automatic</vt:lpwstr>
  </property>
  <property fmtid="{D5CDD505-2E9C-101B-9397-08002B2CF9AE}" pid="10" name="Sensitivity">
    <vt:lpwstr>General</vt:lpwstr>
  </property>
</Properties>
</file>